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6F" w:rsidRDefault="00A5486F" w:rsidP="00A5486F">
      <w:pPr>
        <w:spacing w:before="480"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деятельности по исполнению полномочий в области охоты и сохранения охотничьих ресурсов, охраны и использования объектов животного мира, не отнесенных к объектам охоты, в 2019 г.</w:t>
      </w:r>
    </w:p>
    <w:p w:rsidR="004B7CD3" w:rsidRPr="00F56E82" w:rsidRDefault="00184206" w:rsidP="007D22A1">
      <w:pPr>
        <w:spacing w:before="480"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отчетный </w:t>
      </w:r>
      <w:r w:rsidR="004B7CD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в соответствии с Федеральным законом </w:t>
      </w:r>
      <w:r w:rsidR="00DF1617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B7CD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F1617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24.04.1995</w:t>
      </w:r>
      <w:r w:rsidR="0094239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</w:t>
      </w:r>
      <w:r w:rsidR="0056744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239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="00DF1617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животном мире»</w:t>
      </w:r>
      <w:r w:rsidR="0094239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Федеральным законом от</w:t>
      </w:r>
      <w:r w:rsidR="00BA22B6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239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56744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="0094239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 № 209-ФЗ «Об охоте и о сохранении охотничьих ресурсов и о</w:t>
      </w:r>
      <w:r w:rsidR="00BA22B6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239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отдельные законодательные акты Российской Федерации»</w:t>
      </w:r>
      <w:r w:rsidR="0056744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принятыми в соответствии с ними федеральными и областными нормативными правовыми актами</w:t>
      </w:r>
      <w:r w:rsidR="004B7CD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Кировской области </w:t>
      </w:r>
      <w:r w:rsidR="0056744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реализовывался комплекс мероприятий, направленный на обеспечение устойчивого существования и устойчивого использования объектов животного </w:t>
      </w:r>
      <w:r w:rsidR="004B7CD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мира, отнесенных и не отнесенных к объектам охоты, и среды их обитания. </w:t>
      </w:r>
    </w:p>
    <w:p w:rsidR="00184206" w:rsidRPr="008E4A6C" w:rsidRDefault="004B7CD3" w:rsidP="00400E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мероприятий по охране и воспроизводству объектов животного мира и среды их обитания, ведения государственного кадастра объектов животного мира, не отнесенных к охотничьим ресурсам и водным биологическим ресурсам</w:t>
      </w:r>
      <w:r w:rsidR="000877D3" w:rsidRPr="008E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184206" w:rsidRPr="008E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аключен </w:t>
      </w:r>
      <w:r w:rsidR="008E4A6C" w:rsidRPr="008E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исполнен </w:t>
      </w:r>
      <w:r w:rsidR="00184206" w:rsidRPr="008E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контракт на проведение научно-исследовательской работы по составлению перечня </w:t>
      </w:r>
      <w:r w:rsidRPr="008E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ряда </w:t>
      </w:r>
      <w:r w:rsidR="007E302D" w:rsidRPr="008E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видов диких животных </w:t>
      </w:r>
      <w:r w:rsidR="00184206" w:rsidRPr="008E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(беспозвоночные</w:t>
      </w:r>
      <w:r w:rsidR="00230C53" w:rsidRPr="008E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84206" w:rsidRPr="008E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насекомые)</w:t>
      </w:r>
      <w:r w:rsidR="007E302D" w:rsidRPr="008E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обитающих на территории</w:t>
      </w:r>
      <w:r w:rsidR="00184206" w:rsidRPr="008E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Кировской области.</w:t>
      </w:r>
    </w:p>
    <w:p w:rsidR="00B01542" w:rsidRPr="00E91300" w:rsidRDefault="00184206" w:rsidP="00400E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C17A9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обеспечения устойчивого использования объектов животного мира, отнесенных к объектам охоты</w:t>
      </w:r>
      <w:r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050B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</w:t>
      </w:r>
      <w:r w:rsidR="00CC17A9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</w:t>
      </w:r>
      <w:r w:rsidR="0096622F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</w:t>
      </w:r>
      <w:r w:rsidR="00CC17A9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6622F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лимитов и квот</w:t>
      </w:r>
      <w:r w:rsidR="002C5834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96622F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добычи</w:t>
      </w:r>
      <w:r w:rsidR="00CC17A9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 </w:t>
      </w:r>
      <w:r w:rsidR="005F7335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</w:t>
      </w:r>
      <w:r w:rsidR="00AA050B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получено </w:t>
      </w:r>
      <w:r w:rsidR="005F7335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</w:t>
      </w:r>
      <w:r w:rsidR="002C5834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22F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 юридических лиц и индивидуальных предпринимателей</w:t>
      </w:r>
      <w:r w:rsidR="002C5834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осуществляющих</w:t>
      </w:r>
      <w:r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долгосрочное охотпользование</w:t>
      </w:r>
      <w:r w:rsidR="0096622F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17A9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22F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C17A9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="0096622F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CC17A9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622F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7A9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</w:t>
      </w:r>
      <w:r w:rsidR="0096622F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</w:t>
      </w:r>
      <w:r w:rsidR="00CC17A9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</w:t>
      </w:r>
      <w:r w:rsidR="0096622F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</w:t>
      </w:r>
      <w:r w:rsidR="002C5834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622F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квоты и лимиты добычи охотничьих ресурсов</w:t>
      </w:r>
      <w:r w:rsidR="00AA050B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Кировской области в сезон охоты </w:t>
      </w:r>
      <w:r w:rsidR="00AA050B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2019</w:t>
      </w:r>
      <w:r w:rsidR="002C5834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AA050B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годов</w:t>
      </w:r>
      <w:r w:rsidR="0096622F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Проведены общественные слушания, получено положительное заклю</w:t>
      </w:r>
      <w:r w:rsidR="00CC17A9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экологической экспертизы</w:t>
      </w:r>
      <w:r w:rsidR="00F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17A9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C17A9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атериалы, обосновывающие лимиты и квоты добычи согласован</w:t>
      </w:r>
      <w:r w:rsidR="00F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B306F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B306F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="00F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B306F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природных ресурсов и экологии Российской Федерации</w:t>
      </w:r>
      <w:r w:rsidR="00CC17A9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92F47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1542" w:rsidRPr="00E91300" w:rsidRDefault="00492F47" w:rsidP="00400E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 проект документа об утверждении лимита добычи охотничьих ресурсов с указанием объем</w:t>
      </w:r>
      <w:r w:rsidR="00B01542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изъятия охотничьих ресурсов, при необходимости их пол и возраст, а также квот добычи охотничьих ресурсов для каждого охотничьего угодья.</w:t>
      </w:r>
      <w:r w:rsidR="00B01542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Губернатором Кировской области издан Указ от </w:t>
      </w:r>
      <w:r w:rsidR="00EB666D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26.07.2019 </w:t>
      </w:r>
      <w:r w:rsidR="00B01542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B666D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103 </w:t>
      </w:r>
      <w:r w:rsidR="00B01542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</w:t>
      </w:r>
      <w:r w:rsidR="00EB666D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лимита добычи охотничьих ресурсов и квот их добычи на территории Кировской области на период 01.08.2019 – 01.08.2020</w:t>
      </w:r>
      <w:r w:rsidR="00B01542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6622F" w:rsidRPr="00E91300" w:rsidRDefault="00460C9D" w:rsidP="00400E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E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поддержания численности охотничьих ресурсов, предотвращения возникновения и распространения болезней охотничьих ресурсов, нанесения ущерба здоровью граждан, объектам животного мира и среде их обитания принято</w:t>
      </w:r>
      <w:r w:rsidR="00B01542" w:rsidRPr="00EE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796" w:rsidRPr="00EE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  <w:r w:rsidRPr="00EE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EE2796" w:rsidRPr="00EE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E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регулировании численности на территории закрепленных и общедоступных охотничьих угодий</w:t>
      </w:r>
      <w:r w:rsidRPr="00C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 проведения мероприятий по регу</w:t>
      </w:r>
      <w:r w:rsidR="00C20D0E" w:rsidRPr="00C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лированию численности добыто 248 лисиц, 60 волков, 182 енотовидных собак</w:t>
      </w:r>
      <w:r w:rsidR="0025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20D0E" w:rsidRPr="00C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61 кабан</w:t>
      </w:r>
      <w:r w:rsidR="0096622F" w:rsidRPr="00C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22F" w:rsidRPr="00E91300" w:rsidRDefault="0096622F" w:rsidP="00400E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 сбор документированной информации об охотничьих ресурсах, об их использовании и сохранении, об охотничьих </w:t>
      </w:r>
      <w:proofErr w:type="gramStart"/>
      <w:r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угодьях, </w:t>
      </w:r>
      <w:bookmarkStart w:id="0" w:name="_GoBack"/>
      <w:bookmarkEnd w:id="0"/>
      <w:r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об о</w:t>
      </w:r>
      <w:r w:rsidR="005F7335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хотниках, об юридических лицах </w:t>
      </w:r>
      <w:r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индивидуальных предпринимателях, осуществляющих виды деятельности в сфере охотничьего хозяйства. Сводная информация направлена</w:t>
      </w:r>
      <w:r w:rsidR="00E66C29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Министерство природных ресурсов и экологии Российской Федерации</w:t>
      </w:r>
      <w:r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22F" w:rsidRPr="00FD78F3" w:rsidRDefault="0096622F" w:rsidP="00400E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регулярные наблюдения за численностью</w:t>
      </w:r>
      <w:r w:rsidR="00825539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распространением охотничьих ресурсов, размещением их в среде обитания, состоянием и динамикой их изменения.</w:t>
      </w:r>
      <w:r w:rsidR="005F7335" w:rsidRPr="00E913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66C29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этих работ заложено и</w:t>
      </w:r>
      <w:r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пройде</w:t>
      </w:r>
      <w:r w:rsidR="005F7335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3 246</w:t>
      </w:r>
      <w:r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учетных ма</w:t>
      </w:r>
      <w:r w:rsidR="005F7335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ршрутов, общей протяжённостью 32 545,9</w:t>
      </w:r>
      <w:r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км. </w:t>
      </w:r>
      <w:r w:rsidR="00E66C29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данные </w:t>
      </w:r>
      <w:r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в</w:t>
      </w:r>
      <w:r w:rsidR="00B17829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 природных ресурсов и </w:t>
      </w:r>
      <w:r w:rsidR="00B17829" w:rsidRPr="00E9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экологии Российской Федерации</w:t>
      </w:r>
      <w:r w:rsidRPr="00FD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текущем году специальные наблюдения за численностью и распространением объектов животного мира, не отнесенных к объектам охоты, не планировались. Указанные работы проведены в 2017</w:t>
      </w:r>
      <w:r w:rsidR="00EB666D" w:rsidRPr="00FD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сохраняют свою актуальность на отчетный период.</w:t>
      </w:r>
    </w:p>
    <w:p w:rsidR="00A71820" w:rsidRPr="00C20D0E" w:rsidRDefault="00B21ACD" w:rsidP="00400E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EE2796" w:rsidRPr="00C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C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</w:t>
      </w:r>
      <w:r w:rsidR="009468C8" w:rsidRPr="00C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820" w:rsidRPr="00C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</w:t>
      </w:r>
      <w:r w:rsidR="003F4848" w:rsidRPr="00C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обращениям</w:t>
      </w:r>
      <w:r w:rsidR="009468C8" w:rsidRPr="00C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хозяйствующих субъектов </w:t>
      </w:r>
      <w:r w:rsidR="00A71820" w:rsidRPr="00C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заключено </w:t>
      </w:r>
      <w:r w:rsidR="00EE2796" w:rsidRPr="00C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A71820" w:rsidRPr="00C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охотхозяйственных соглашени</w:t>
      </w:r>
      <w:r w:rsidR="00DF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01542" w:rsidRPr="00C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71820" w:rsidRPr="00C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получена плата</w:t>
      </w:r>
      <w:r w:rsidR="00B01542" w:rsidRPr="00C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их заключение</w:t>
      </w:r>
      <w:r w:rsidR="00A71820" w:rsidRPr="00C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</w:t>
      </w:r>
      <w:r w:rsidR="00C20D0E" w:rsidRPr="00C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F11455" w:rsidRPr="00C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20D0E" w:rsidRPr="00C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298</w:t>
      </w:r>
      <w:r w:rsidR="00F11455" w:rsidRPr="00C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</w:t>
      </w:r>
      <w:r w:rsidR="00A71820" w:rsidRPr="00C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B21ACD" w:rsidRPr="00E91300" w:rsidRDefault="00B21ACD" w:rsidP="00400E2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1300">
        <w:rPr>
          <w:rFonts w:ascii="Times New Roman" w:eastAsia="Calibri" w:hAnsi="Times New Roman" w:cs="Times New Roman"/>
          <w:sz w:val="28"/>
          <w:szCs w:val="28"/>
        </w:rPr>
        <w:t>В рамках обеспечения доступности государственных услуг областным уполномоченным государственным органом юридическим лицам и индивидуальным предпринимателям выдано 3</w:t>
      </w:r>
      <w:r w:rsidR="00E91300" w:rsidRPr="00E91300">
        <w:rPr>
          <w:rFonts w:ascii="Times New Roman" w:eastAsia="Calibri" w:hAnsi="Times New Roman" w:cs="Times New Roman"/>
          <w:sz w:val="28"/>
          <w:szCs w:val="28"/>
        </w:rPr>
        <w:t>7835</w:t>
      </w:r>
      <w:r w:rsidRPr="00E91300">
        <w:rPr>
          <w:rFonts w:ascii="Times New Roman" w:eastAsia="Calibri" w:hAnsi="Times New Roman" w:cs="Times New Roman"/>
          <w:sz w:val="28"/>
          <w:szCs w:val="28"/>
        </w:rPr>
        <w:t xml:space="preserve"> бланк</w:t>
      </w:r>
      <w:r w:rsidR="00E91300" w:rsidRPr="00E91300">
        <w:rPr>
          <w:rFonts w:ascii="Times New Roman" w:eastAsia="Calibri" w:hAnsi="Times New Roman" w:cs="Times New Roman"/>
          <w:sz w:val="28"/>
          <w:szCs w:val="28"/>
        </w:rPr>
        <w:t>ов</w:t>
      </w:r>
      <w:r w:rsidRPr="00E91300">
        <w:rPr>
          <w:rFonts w:ascii="Times New Roman" w:eastAsia="Calibri" w:hAnsi="Times New Roman" w:cs="Times New Roman"/>
          <w:sz w:val="28"/>
          <w:szCs w:val="28"/>
        </w:rPr>
        <w:t xml:space="preserve"> разрешений на добычу охотничьих ресурсов, в том числе: 4</w:t>
      </w:r>
      <w:r w:rsidR="00E91300" w:rsidRPr="00E91300">
        <w:rPr>
          <w:rFonts w:ascii="Times New Roman" w:eastAsia="Calibri" w:hAnsi="Times New Roman" w:cs="Times New Roman"/>
          <w:sz w:val="28"/>
          <w:szCs w:val="28"/>
        </w:rPr>
        <w:t>544</w:t>
      </w:r>
      <w:r w:rsidRPr="00E91300">
        <w:rPr>
          <w:rFonts w:ascii="Times New Roman" w:eastAsia="Calibri" w:hAnsi="Times New Roman" w:cs="Times New Roman"/>
          <w:sz w:val="28"/>
          <w:szCs w:val="28"/>
        </w:rPr>
        <w:t xml:space="preserve"> бланк</w:t>
      </w:r>
      <w:r w:rsidR="00E91300" w:rsidRPr="00E91300">
        <w:rPr>
          <w:rFonts w:ascii="Times New Roman" w:eastAsia="Calibri" w:hAnsi="Times New Roman" w:cs="Times New Roman"/>
          <w:sz w:val="28"/>
          <w:szCs w:val="28"/>
        </w:rPr>
        <w:t>а</w:t>
      </w:r>
      <w:r w:rsidRPr="00E91300">
        <w:rPr>
          <w:rFonts w:ascii="Times New Roman" w:eastAsia="Calibri" w:hAnsi="Times New Roman" w:cs="Times New Roman"/>
          <w:sz w:val="28"/>
          <w:szCs w:val="28"/>
        </w:rPr>
        <w:t xml:space="preserve"> − на добычу копытных животных, 5</w:t>
      </w:r>
      <w:r w:rsidR="00E91300" w:rsidRPr="00E91300">
        <w:rPr>
          <w:rFonts w:ascii="Times New Roman" w:eastAsia="Calibri" w:hAnsi="Times New Roman" w:cs="Times New Roman"/>
          <w:sz w:val="28"/>
          <w:szCs w:val="28"/>
        </w:rPr>
        <w:t>77</w:t>
      </w:r>
      <w:r w:rsidRPr="00E91300">
        <w:rPr>
          <w:rFonts w:ascii="Times New Roman" w:eastAsia="Calibri" w:hAnsi="Times New Roman" w:cs="Times New Roman"/>
          <w:sz w:val="28"/>
          <w:szCs w:val="28"/>
        </w:rPr>
        <w:t xml:space="preserve"> бланк</w:t>
      </w:r>
      <w:r w:rsidR="00E91300" w:rsidRPr="00E91300">
        <w:rPr>
          <w:rFonts w:ascii="Times New Roman" w:eastAsia="Calibri" w:hAnsi="Times New Roman" w:cs="Times New Roman"/>
          <w:sz w:val="28"/>
          <w:szCs w:val="28"/>
        </w:rPr>
        <w:t>ов</w:t>
      </w:r>
      <w:r w:rsidRPr="00E91300">
        <w:rPr>
          <w:rFonts w:ascii="Times New Roman" w:eastAsia="Calibri" w:hAnsi="Times New Roman" w:cs="Times New Roman"/>
          <w:sz w:val="28"/>
          <w:szCs w:val="28"/>
        </w:rPr>
        <w:t xml:space="preserve"> − на добычу медведей, </w:t>
      </w:r>
      <w:r w:rsidR="00E91300" w:rsidRPr="00E91300">
        <w:rPr>
          <w:rFonts w:ascii="Times New Roman" w:eastAsia="Calibri" w:hAnsi="Times New Roman" w:cs="Times New Roman"/>
          <w:sz w:val="28"/>
          <w:szCs w:val="28"/>
        </w:rPr>
        <w:t>9091</w:t>
      </w:r>
      <w:r w:rsidRPr="00E91300">
        <w:rPr>
          <w:rFonts w:ascii="Times New Roman" w:eastAsia="Calibri" w:hAnsi="Times New Roman" w:cs="Times New Roman"/>
          <w:sz w:val="28"/>
          <w:szCs w:val="28"/>
        </w:rPr>
        <w:t xml:space="preserve"> бланк − на добычу пушных видов животных, 23</w:t>
      </w:r>
      <w:r w:rsidR="00E91300" w:rsidRPr="00E91300">
        <w:rPr>
          <w:rFonts w:ascii="Times New Roman" w:eastAsia="Calibri" w:hAnsi="Times New Roman" w:cs="Times New Roman"/>
          <w:sz w:val="28"/>
          <w:szCs w:val="28"/>
        </w:rPr>
        <w:t>290</w:t>
      </w:r>
      <w:r w:rsidRPr="00E91300">
        <w:rPr>
          <w:rFonts w:ascii="Times New Roman" w:eastAsia="Calibri" w:hAnsi="Times New Roman" w:cs="Times New Roman"/>
          <w:sz w:val="28"/>
          <w:szCs w:val="28"/>
        </w:rPr>
        <w:t xml:space="preserve"> бланков − на добычу птиц, 2</w:t>
      </w:r>
      <w:r w:rsidR="00E91300" w:rsidRPr="00E91300">
        <w:rPr>
          <w:rFonts w:ascii="Times New Roman" w:eastAsia="Calibri" w:hAnsi="Times New Roman" w:cs="Times New Roman"/>
          <w:sz w:val="28"/>
          <w:szCs w:val="28"/>
        </w:rPr>
        <w:t>58</w:t>
      </w:r>
      <w:r w:rsidRPr="00E91300">
        <w:rPr>
          <w:rFonts w:ascii="Times New Roman" w:eastAsia="Calibri" w:hAnsi="Times New Roman" w:cs="Times New Roman"/>
          <w:sz w:val="28"/>
          <w:szCs w:val="28"/>
        </w:rPr>
        <w:t xml:space="preserve"> бланков разрешений на добычу пушных животных в целях регулирования численности охотничьих ресурсов и </w:t>
      </w:r>
      <w:r w:rsidR="00E91300" w:rsidRPr="00E91300">
        <w:rPr>
          <w:rFonts w:ascii="Times New Roman" w:eastAsia="Calibri" w:hAnsi="Times New Roman" w:cs="Times New Roman"/>
          <w:sz w:val="28"/>
          <w:szCs w:val="28"/>
        </w:rPr>
        <w:t>7</w:t>
      </w:r>
      <w:r w:rsidRPr="00E91300">
        <w:rPr>
          <w:rFonts w:ascii="Times New Roman" w:eastAsia="Calibri" w:hAnsi="Times New Roman" w:cs="Times New Roman"/>
          <w:sz w:val="28"/>
          <w:szCs w:val="28"/>
        </w:rPr>
        <w:t>5 бланков разрешений на добычу копытных животных (кабан) в целях регулирования численности охотничьих ресурсов. На основании обращений граждан в отчетный период выдано 4</w:t>
      </w:r>
      <w:r w:rsidR="00E91300" w:rsidRPr="00E91300">
        <w:rPr>
          <w:rFonts w:ascii="Times New Roman" w:eastAsia="Calibri" w:hAnsi="Times New Roman" w:cs="Times New Roman"/>
          <w:sz w:val="28"/>
          <w:szCs w:val="28"/>
        </w:rPr>
        <w:t>808</w:t>
      </w:r>
      <w:r w:rsidRPr="00E91300">
        <w:rPr>
          <w:rFonts w:ascii="Times New Roman" w:eastAsia="Calibri" w:hAnsi="Times New Roman" w:cs="Times New Roman"/>
          <w:sz w:val="28"/>
          <w:szCs w:val="28"/>
        </w:rPr>
        <w:t xml:space="preserve"> разрешений на добычу охотничьих ресурсов.  Разрешений на содержание и разведение объектов животного мира, отнесенных к охотничьим ресурсам, в полувольных условиях и искусственно созданной среде обитания, в отчетный период не выдавалось, в связи отсутствием обращений об оказании данных услу</w:t>
      </w:r>
      <w:r w:rsidRPr="00E91300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FD508B" w:rsidRDefault="00F516A2" w:rsidP="00400E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соблюдения требований в области охоты и сохранения охотничьих ресурсов, охраны использования животного мира, установленных действующим законодательством в отношении граждан, юридических лиц и индивидуальных предпринимателей</w:t>
      </w:r>
      <w:r w:rsidR="003F4848" w:rsidRPr="0023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</w:t>
      </w:r>
      <w:r w:rsidR="00232CBC" w:rsidRPr="0023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2597</w:t>
      </w:r>
      <w:r w:rsidRPr="0023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контрольно-надзорн</w:t>
      </w:r>
      <w:r w:rsidR="00232CBC" w:rsidRPr="0023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23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232CBC" w:rsidRPr="0023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3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F4011" w:rsidRPr="0023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Выявлено </w:t>
      </w:r>
      <w:r w:rsidR="00232CBC" w:rsidRPr="0023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308</w:t>
      </w:r>
      <w:r w:rsidR="008F4011" w:rsidRPr="0023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обязательных требований в области охоты и сохранения охотничьих ресурсов, охраны и использования животного мира. На нарушителей законодательства наложено </w:t>
      </w:r>
      <w:r w:rsidR="008F4011" w:rsidRPr="0023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штрафов на сумму </w:t>
      </w:r>
      <w:r w:rsidR="00232CBC" w:rsidRPr="0023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293,4 </w:t>
      </w:r>
      <w:r w:rsidR="008F4011" w:rsidRPr="0023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 и им предъявлено исков на сумму </w:t>
      </w:r>
      <w:r w:rsidR="00232CBC" w:rsidRPr="0023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610</w:t>
      </w:r>
      <w:r w:rsidR="008F4011" w:rsidRPr="0023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Изъято </w:t>
      </w:r>
      <w:r w:rsidR="00232CBC" w:rsidRPr="0023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8F4011" w:rsidRPr="0023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ед.  охотничьего оружия. </w:t>
      </w:r>
      <w:r w:rsidR="008F4011" w:rsidRPr="001D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Привлечено к ответственности </w:t>
      </w:r>
      <w:r w:rsidR="001D2CE5" w:rsidRPr="001D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F4011" w:rsidRPr="001D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нарушител</w:t>
      </w:r>
      <w:r w:rsidR="001D2CE5" w:rsidRPr="001D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F4011" w:rsidRPr="001D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обор</w:t>
      </w:r>
      <w:r w:rsidR="00EE0E2E" w:rsidRPr="001D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F4011" w:rsidRPr="001D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продукции охоты. </w:t>
      </w:r>
    </w:p>
    <w:p w:rsidR="003C4824" w:rsidRPr="004D6E25" w:rsidRDefault="003C4824" w:rsidP="00400E2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D6E25">
        <w:rPr>
          <w:rFonts w:ascii="Times New Roman" w:eastAsia="Calibri" w:hAnsi="Times New Roman" w:cs="Times New Roman"/>
          <w:color w:val="000000"/>
          <w:sz w:val="28"/>
          <w:szCs w:val="28"/>
        </w:rPr>
        <w:t>абота по возмещению ущерба, причиненного охотничьим ресурсам в результате дорожно-транспортных происшествий</w:t>
      </w:r>
      <w:r w:rsidR="00FD50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ДТП)</w:t>
      </w:r>
      <w:r w:rsidRPr="004D6E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проводилась по </w:t>
      </w:r>
      <w:r w:rsidR="00FD508B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BE1971" w:rsidRPr="004D6E25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D6E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случа</w:t>
      </w:r>
      <w:r w:rsidR="00BE1971" w:rsidRPr="004D6E25">
        <w:rPr>
          <w:rFonts w:ascii="Times New Roman" w:eastAsia="Calibri" w:hAnsi="Times New Roman" w:cs="Times New Roman"/>
          <w:color w:val="000000"/>
          <w:sz w:val="28"/>
          <w:szCs w:val="28"/>
        </w:rPr>
        <w:t>ям</w:t>
      </w:r>
      <w:r w:rsidR="00FD508B">
        <w:rPr>
          <w:rFonts w:ascii="Times New Roman" w:eastAsia="Calibri" w:hAnsi="Times New Roman" w:cs="Times New Roman"/>
          <w:color w:val="000000"/>
          <w:sz w:val="28"/>
          <w:szCs w:val="28"/>
        </w:rPr>
        <w:t>, из которых по 9 случаям взыскание ущерба не представляется возможным, ввиду отсутствия лица, причинившего ущерб, по 19 случаям ущерб взыскан на сумму</w:t>
      </w:r>
      <w:r w:rsidRPr="004D6E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D1018" w:rsidRPr="004D6E25">
        <w:rPr>
          <w:rFonts w:ascii="Times New Roman" w:eastAsia="Calibri" w:hAnsi="Times New Roman" w:cs="Times New Roman"/>
          <w:color w:val="000000"/>
          <w:sz w:val="28"/>
          <w:szCs w:val="28"/>
        </w:rPr>
        <w:t>1361</w:t>
      </w:r>
      <w:r w:rsidR="00E97081" w:rsidRPr="004D6E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D6E25">
        <w:rPr>
          <w:rFonts w:ascii="Times New Roman" w:eastAsia="Calibri" w:hAnsi="Times New Roman" w:cs="Times New Roman"/>
          <w:color w:val="000000"/>
          <w:sz w:val="28"/>
          <w:szCs w:val="28"/>
        </w:rPr>
        <w:t>тыс. руб.</w:t>
      </w:r>
      <w:r w:rsidR="00C455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 25 случаям </w:t>
      </w:r>
      <w:r w:rsidR="000D0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по </w:t>
      </w:r>
      <w:r w:rsidR="000D0879" w:rsidRPr="004D6E25">
        <w:rPr>
          <w:rFonts w:ascii="Times New Roman" w:eastAsia="Calibri" w:hAnsi="Times New Roman" w:cs="Times New Roman"/>
          <w:color w:val="000000"/>
          <w:sz w:val="28"/>
          <w:szCs w:val="28"/>
        </w:rPr>
        <w:t>возмещению ущерба, причиненного охотничьим ресурсам в результате</w:t>
      </w:r>
      <w:r w:rsidR="000D0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ДТП</w:t>
      </w:r>
      <w:r w:rsidR="00C455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продолжается</w:t>
      </w:r>
      <w:r w:rsidR="000D087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B0573" w:rsidRPr="0038216E" w:rsidRDefault="00CB0573" w:rsidP="00400E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мероприятия, направленные на воспроизводство охотничьих ресурсов на территории общедоступных охотничьих угодий Белохолуницкого, Богородского, Верхошижемского, </w:t>
      </w:r>
      <w:proofErr w:type="spellStart"/>
      <w:r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Вятскополянского</w:t>
      </w:r>
      <w:proofErr w:type="spellEnd"/>
      <w:r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Зуевского, </w:t>
      </w:r>
      <w:proofErr w:type="spellStart"/>
      <w:r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Кильмезского</w:t>
      </w:r>
      <w:proofErr w:type="spellEnd"/>
      <w:r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Лузского, Малмыжского, Нагорского, Омутнинского, Опаринского, Подосиновского, Санчурского, Юрьянск</w:t>
      </w:r>
      <w:r w:rsidR="00B01542"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районов Кировской области, в том числе: </w:t>
      </w:r>
    </w:p>
    <w:p w:rsidR="00CB0573" w:rsidRPr="0038216E" w:rsidRDefault="00CB0573" w:rsidP="00400E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</w:t>
      </w:r>
      <w:r w:rsidR="00B01542"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еяно</w:t>
      </w:r>
      <w:r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кормовых полей (га/шт.) - 68/86;     </w:t>
      </w:r>
    </w:p>
    <w:p w:rsidR="00CB0573" w:rsidRPr="0038216E" w:rsidRDefault="00CB0573" w:rsidP="00400E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</w:t>
      </w:r>
      <w:r w:rsidR="00B01542"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кормушек для кабана (шт.) - 10;                               </w:t>
      </w:r>
    </w:p>
    <w:p w:rsidR="00CB0573" w:rsidRPr="0038216E" w:rsidRDefault="00CB0573" w:rsidP="00400E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</w:t>
      </w:r>
      <w:r w:rsidR="00B01542"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солонцов для лося (шт.) - 60; </w:t>
      </w:r>
    </w:p>
    <w:p w:rsidR="00CB0573" w:rsidRPr="0038216E" w:rsidRDefault="00CB0573" w:rsidP="00400E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</w:t>
      </w:r>
      <w:r w:rsidR="00B01542"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солонцов для зайца (шт.) - 250; </w:t>
      </w:r>
    </w:p>
    <w:p w:rsidR="00CB0573" w:rsidRPr="0038216E" w:rsidRDefault="00CB0573" w:rsidP="00400E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B01542"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ыложено</w:t>
      </w:r>
      <w:r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B01542"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еральной</w:t>
      </w:r>
      <w:r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подкормки для лося (кг) - 1800; </w:t>
      </w:r>
    </w:p>
    <w:p w:rsidR="00CB0573" w:rsidRPr="0038216E" w:rsidRDefault="00CB0573" w:rsidP="00400E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B01542"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ыложено </w:t>
      </w:r>
      <w:r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="00B01542"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еральной</w:t>
      </w:r>
      <w:r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подкормки для зайца (кг) -750; </w:t>
      </w:r>
    </w:p>
    <w:p w:rsidR="00B01542" w:rsidRPr="0038216E" w:rsidRDefault="00CB0573" w:rsidP="00400E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</w:t>
      </w:r>
      <w:r w:rsidR="00B01542"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подкормочных комплексов для боровой дичи (шт.) - 83.</w:t>
      </w:r>
    </w:p>
    <w:p w:rsidR="00964874" w:rsidRPr="00EE2D76" w:rsidRDefault="00815457" w:rsidP="00400E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</w:t>
      </w:r>
      <w:r w:rsidR="00964874"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планирования деятельности в сфере охоты и сохранен</w:t>
      </w:r>
      <w:r w:rsidR="00CB0573"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охотничьих ресурсов заключен государственный контракт и проводятся</w:t>
      </w:r>
      <w:r w:rsidR="0067664B"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874"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67664B"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964874"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</w:t>
      </w:r>
      <w:r w:rsidR="00290956"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64874" w:rsidRPr="003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размещения, использования и охраны охотничьих угодий на территории Кировской области.</w:t>
      </w:r>
      <w:r w:rsidR="00964874" w:rsidRPr="00CB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964874" w:rsidRPr="00EE2D76" w:rsidSect="00400E2D">
      <w:headerReference w:type="default" r:id="rId8"/>
      <w:pgSz w:w="11906" w:h="16838"/>
      <w:pgMar w:top="1276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73" w:rsidRDefault="00667873" w:rsidP="00667873">
      <w:pPr>
        <w:spacing w:after="0" w:line="240" w:lineRule="auto"/>
      </w:pPr>
      <w:r>
        <w:separator/>
      </w:r>
    </w:p>
  </w:endnote>
  <w:endnote w:type="continuationSeparator" w:id="0">
    <w:p w:rsidR="00667873" w:rsidRDefault="00667873" w:rsidP="0066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73" w:rsidRDefault="00667873" w:rsidP="00667873">
      <w:pPr>
        <w:spacing w:after="0" w:line="240" w:lineRule="auto"/>
      </w:pPr>
      <w:r>
        <w:separator/>
      </w:r>
    </w:p>
  </w:footnote>
  <w:footnote w:type="continuationSeparator" w:id="0">
    <w:p w:rsidR="00667873" w:rsidRDefault="00667873" w:rsidP="0066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987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7873" w:rsidRPr="00667873" w:rsidRDefault="0066787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8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8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8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021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678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7873" w:rsidRDefault="006678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4C19"/>
    <w:multiLevelType w:val="hybridMultilevel"/>
    <w:tmpl w:val="C7AE025C"/>
    <w:lvl w:ilvl="0" w:tplc="7ED6497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D7"/>
    <w:rsid w:val="00053F99"/>
    <w:rsid w:val="000877D3"/>
    <w:rsid w:val="000B4630"/>
    <w:rsid w:val="000D0879"/>
    <w:rsid w:val="000E256C"/>
    <w:rsid w:val="00144FFC"/>
    <w:rsid w:val="00174BE6"/>
    <w:rsid w:val="00184206"/>
    <w:rsid w:val="001A0DAE"/>
    <w:rsid w:val="001D2CE5"/>
    <w:rsid w:val="002228BB"/>
    <w:rsid w:val="00230C53"/>
    <w:rsid w:val="00232CBC"/>
    <w:rsid w:val="002468A8"/>
    <w:rsid w:val="00252CE6"/>
    <w:rsid w:val="00290956"/>
    <w:rsid w:val="002C5834"/>
    <w:rsid w:val="00315389"/>
    <w:rsid w:val="00315816"/>
    <w:rsid w:val="0038216E"/>
    <w:rsid w:val="003832F9"/>
    <w:rsid w:val="003B5569"/>
    <w:rsid w:val="003C4824"/>
    <w:rsid w:val="003D1018"/>
    <w:rsid w:val="003D315D"/>
    <w:rsid w:val="003D5A49"/>
    <w:rsid w:val="003D7A40"/>
    <w:rsid w:val="003F4848"/>
    <w:rsid w:val="00400E2D"/>
    <w:rsid w:val="00460C9D"/>
    <w:rsid w:val="00492F47"/>
    <w:rsid w:val="004B7CD3"/>
    <w:rsid w:val="004D6536"/>
    <w:rsid w:val="004D6E25"/>
    <w:rsid w:val="004F6D0F"/>
    <w:rsid w:val="00522FCA"/>
    <w:rsid w:val="0053690D"/>
    <w:rsid w:val="00567443"/>
    <w:rsid w:val="005F0DD7"/>
    <w:rsid w:val="005F7335"/>
    <w:rsid w:val="00667873"/>
    <w:rsid w:val="00670F52"/>
    <w:rsid w:val="0067664B"/>
    <w:rsid w:val="00695511"/>
    <w:rsid w:val="006E5742"/>
    <w:rsid w:val="00740BE4"/>
    <w:rsid w:val="00752260"/>
    <w:rsid w:val="007640B5"/>
    <w:rsid w:val="00793A9E"/>
    <w:rsid w:val="007D22A1"/>
    <w:rsid w:val="007E302D"/>
    <w:rsid w:val="00815457"/>
    <w:rsid w:val="00825539"/>
    <w:rsid w:val="00855EFB"/>
    <w:rsid w:val="0089295F"/>
    <w:rsid w:val="008E4A6C"/>
    <w:rsid w:val="008F4011"/>
    <w:rsid w:val="008F4207"/>
    <w:rsid w:val="00942393"/>
    <w:rsid w:val="009468C8"/>
    <w:rsid w:val="00964874"/>
    <w:rsid w:val="0096622F"/>
    <w:rsid w:val="009A66A7"/>
    <w:rsid w:val="009B128D"/>
    <w:rsid w:val="00A5486F"/>
    <w:rsid w:val="00A71820"/>
    <w:rsid w:val="00AA050B"/>
    <w:rsid w:val="00AA15F5"/>
    <w:rsid w:val="00AB306F"/>
    <w:rsid w:val="00B01542"/>
    <w:rsid w:val="00B17829"/>
    <w:rsid w:val="00B21ACD"/>
    <w:rsid w:val="00BA22B6"/>
    <w:rsid w:val="00BE1971"/>
    <w:rsid w:val="00C20D0E"/>
    <w:rsid w:val="00C45589"/>
    <w:rsid w:val="00C9450D"/>
    <w:rsid w:val="00CB0573"/>
    <w:rsid w:val="00CB24E3"/>
    <w:rsid w:val="00CB4505"/>
    <w:rsid w:val="00CC17A9"/>
    <w:rsid w:val="00D47D71"/>
    <w:rsid w:val="00D67E7E"/>
    <w:rsid w:val="00DD3D47"/>
    <w:rsid w:val="00DF1617"/>
    <w:rsid w:val="00DF3B6C"/>
    <w:rsid w:val="00DF6395"/>
    <w:rsid w:val="00E06042"/>
    <w:rsid w:val="00E66C29"/>
    <w:rsid w:val="00E91300"/>
    <w:rsid w:val="00E97081"/>
    <w:rsid w:val="00EB1057"/>
    <w:rsid w:val="00EB666D"/>
    <w:rsid w:val="00ED24A0"/>
    <w:rsid w:val="00EE0E2E"/>
    <w:rsid w:val="00EE2796"/>
    <w:rsid w:val="00EE2D76"/>
    <w:rsid w:val="00F11455"/>
    <w:rsid w:val="00F20212"/>
    <w:rsid w:val="00F516A2"/>
    <w:rsid w:val="00F56E82"/>
    <w:rsid w:val="00F648B9"/>
    <w:rsid w:val="00FA370B"/>
    <w:rsid w:val="00FC3A05"/>
    <w:rsid w:val="00FD33E9"/>
    <w:rsid w:val="00FD508B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7AF69-2887-4FFC-9386-E2F96AA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2F"/>
    <w:rPr>
      <w:rFonts w:ascii="Tahoma" w:hAnsi="Tahoma" w:cs="Tahoma"/>
      <w:sz w:val="16"/>
      <w:szCs w:val="16"/>
    </w:rPr>
  </w:style>
  <w:style w:type="paragraph" w:customStyle="1" w:styleId="a5">
    <w:name w:val="Документ в списке"/>
    <w:basedOn w:val="a"/>
    <w:next w:val="a"/>
    <w:uiPriority w:val="99"/>
    <w:rsid w:val="00AA050B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842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7873"/>
  </w:style>
  <w:style w:type="paragraph" w:styleId="a9">
    <w:name w:val="footer"/>
    <w:basedOn w:val="a"/>
    <w:link w:val="aa"/>
    <w:uiPriority w:val="99"/>
    <w:unhideWhenUsed/>
    <w:rsid w:val="0066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7873"/>
  </w:style>
  <w:style w:type="paragraph" w:customStyle="1" w:styleId="ab">
    <w:name w:val="Прижатый влево"/>
    <w:basedOn w:val="a"/>
    <w:next w:val="a"/>
    <w:uiPriority w:val="99"/>
    <w:rsid w:val="00942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492F4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19F7-5B4C-48B2-B245-9C6AC22D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Андреев Михаил Николаевич</cp:lastModifiedBy>
  <cp:revision>4</cp:revision>
  <cp:lastPrinted>2019-07-05T09:14:00Z</cp:lastPrinted>
  <dcterms:created xsi:type="dcterms:W3CDTF">2020-06-22T10:15:00Z</dcterms:created>
  <dcterms:modified xsi:type="dcterms:W3CDTF">2020-06-22T10:24:00Z</dcterms:modified>
</cp:coreProperties>
</file>